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421</w:t>
      </w:r>
    </w:p>
    <w:p>
      <w:r>
        <w:t>Bundesgericht (BGE), 2007-01-01, FR</w:t>
      </w:r>
    </w:p>
    <w:p>
      <w:r>
        <w:rPr>
          <w:b/>
        </w:rPr>
        <w:t xml:space="preserve">Quelle: </w:t>
      </w:r>
      <w:r>
        <w:t>https://mcp.opencaselaw.ch/entscheid/bge_133 III 421</w:t>
      </w:r>
    </w:p>
    <w:p>
      <w:r>
        <w:t>FR: ATF 133 III 421</w:t>
      </w:r>
    </w:p>
    <w:p>
      <w:r>
        <w:t>IT: DTF 133 III 421</w:t>
      </w:r>
    </w:p>
    <w:p>
      <w:pPr>
        <w:pStyle w:val="Heading2"/>
      </w:pPr>
      <w:r>
        <w:t>Regeste</w:t>
      </w:r>
    </w:p>
    <w:p>
      <w:r>
        <w:t>Regeste a Art. 76 Abs. 1 BGG; Berechtigung zur Beschwerde in Zivilsachen. Zur Beschwerde ist berechtigt, wer vor der Vorinstanz Anträge gestellt hat, die vollständig oder teilweise abgewiesen worden sind (E. 1.1).</w:t>
      </w:r>
    </w:p>
    <w:p>
      <w:r>
        <w:t>Regeste b Art. 249 Ziff. 3 OR; Widerruf der Schenkung wegen Nichterfüllung einer Auflage. Im Gegensatz zu der in Art. 246 Abs. 1 OR vorgesehenen Klage auf Vollziehung einer Auflage geht das Recht, die Schenkung wegen Nichterfüllung zu widerrufen, nur für eine begrenzte Zeit auf die Erben des Schenkers über (E. 3). Bei zwei Schenkern kann das Widerrufsrecht von demjenigen Schenker ausgeübt werden, der den anderen überlebt und nunmehr allein eine Nutzniessung an einigen der verschenkten Güter innehat (E. 4.1); stirbt er, kommt seinen Erben kein Widerrufsrecht gestützt auf Art. 107 Abs. 2 und 109 Abs. 1 OR zu (E. 4.2). Im vorliegenden Fall hat sich die überlebende Schenkerin zu Unrecht auf die Nichterfüllung der Auflage berufen (E. 5).</w:t>
      </w:r>
    </w:p>
    <w:p>
      <w:pPr>
        <w:pStyle w:val="Heading2"/>
      </w:pPr>
      <w:r>
        <w:t>Erwägungen</w:t>
      </w:r>
    </w:p>
    <w:p>
      <w:r>
        <w:rPr>
          <w:b/>
        </w:rPr>
        <w:t>E. 1.1</w:t>
      </w:r>
    </w:p>
    <w:p>
      <w:r>
        <w:t>Aux termes de l'art. 76 al. 1 let. b de la loi du 17 juin 2005 sur le Tribunal fédéral (LTF; RS 173.110), la qualité pour exercer le recours en matière civile suppose un intérêt juridique à l'annulation ou à la modification de la décision attaquée. Cette disposition n'avait pas d'équivalent dans les règles antérieures relatives au BGE 133 III 421 S. 426 recours en réforme, désormais remplacé par le recours en matière civile. Selon la jurisprudence, le recours n'était ouvert qu'au plaideur lésé par la décision, c'est-à-dire celui qui avait pris des conclusions et qui, selon le dispositif du prononcé, en était au moins partiellement débouté ( ATF 94 II 209 consid. 3 p. 210; JEAN-FRANÇOIS POUDRET, Commentaire de la loi fédérale d'organisation judiciaire du 16 décembre 1943, n. 5.1 ad art. 53 OJ ). D'après le Message du Conseil fédéral du 28 février 2001 concernant la révision totale de l'organisation judiciaire fédérale, l'introduction de l' art. 76 al. 1 let. b LTF (art. 72 al. 1 let. b dans le projet joint au message, adopté sans changement par l'Assemblée fédérale) n'a pas pour objet de modifier cette situation dans les affaires civiles "proprement dites"; il vise surtout les affaires de droit public qui sont susceptibles du recours en matière civile selon l' art. 72 al. 2 let. b LTF . Du reste, selon le Conseil fédéral, l'intérêt juridique doit aussi être reconnu aux personnes qui ont qualité pour agir ou défendre, d'après le droit déterminant, en leur nom mais pour le compte de tiers (FF 2001 p. 4110/4111). Il suffit donc de retenir, pour entrer en matière, que les six défendeurs ont pris part à l'instance précédente ( art. 76 al. 1 let. a LTF ) et qu'ils ont succombé dans leurs conclusions; il n'y a pas à opérer de distinction entre les héritiers et les exécuteurs testamentaires. (...)</w:t>
      </w:r>
    </w:p>
    <w:p>
      <w:r>
        <w:rPr>
          <w:b/>
        </w:rPr>
        <w:t>E. 3</w:t>
      </w:r>
    </w:p>
    <w:p>
      <w:r>
        <w:t>Selon l' art. 246 al. 1 CO , le donateur peut exiger, dans les termes du contrat, l'exécution d'une charge acceptée par le donataire. Par ailleurs, l' art. 249 ch. 3 CO autorise le donateur à révoquer la donation lorsque, sans cause légitime, le donataire n'exécute pas les charges dont cette libéralité est grevée; le donateur peut alors exiger la restitution de ce qu'il a donné jusqu'à concurrence de l'enrichissement actuel du donataire. De l' art. 251 al. 2 CO , il ressort que le droit de révocation ne se transmet pas aux héritiers du donateur, sinon dans la mesure limitée et temporaire admise par cette disposition, tandis que l'action en exécution de la charge est au contraire transmissible ( ATF 96 II 119 consid. 3 p. 126; SANDRA MAISSEN, Der Schenkungsvertrag im schweizerischen Recht, thèse Fribourg 1996, n. 445 et 446 p. 131, n. 509 p. 151). Il est constant que les modalités prévues pour l'exposition et la conservation de la collection donnée constituent une charge selon les dispositions précitées. Les défendeurs soutiennent qu'en raison BGE 133 III 421 S. 427 de l'inexécution par la demanderesse, Françoise Varenne ou, à défaut, eux-mêmes ont valablement révoqué.</w:t>
      </w:r>
    </w:p>
    <w:p>
      <w:r>
        <w:rPr>
          <w:b/>
        </w:rPr>
        <w:t>E. 4</w:t>
      </w:r>
    </w:p>
    <w:p>
      <w:r>
        <w:t>Il est nécessaire de rechercher qui était, en cas d'inexécution de la charge, autorisé à révoquer la donation faite le 20 juin 1978.</w:t>
      </w:r>
    </w:p>
    <w:p>
      <w:r>
        <w:rPr>
          <w:b/>
        </w:rPr>
        <w:t>E. 4.1</w:t>
      </w:r>
    </w:p>
    <w:p>
      <w:r>
        <w:t>L'acte authentique ne précise pas si la révocation pouvait être déclarée à la demanderesse par Roger ou Françoise Varenne individuellement ou s'il fallait plutôt une déclaration commune des deux époux. Il y est seulement indiqué que ceux-ci donnaient "conjointement et solidairement entre eux". Cette formule n'autorise aucune conclusion au sujet de l'exercice ultérieur des droits appartenant au donateur d'après la loi. En particulier, on ne sait pas si les époux révoqueraient "conjointement", c'est-à-dire en commun, ou "solidairement" selon l' art. 150 CO , c'est-à-dire indépendamment l'un de l'autre mais avec les mêmes effets. Le droit de révoquer est strictement personnel ( ATF 96 II 119 ibidem; ATF 85 II 609 consid. 5 p. 617; MAISSEN, op. cit., n. 406 p. 121) mais cela n'a guère de signification lorsque le droit appartient à plusieurs donateurs. En l'occurrence, ce problème doit être résolu d'après ce que les parties à la donation auraient probablement convenu, raisonnablement et de bonne foi, si elles avaient envisagé le cas non réglé; il faut ici s'inspirer de l'économie et du but de leur contrat ( ATF 131 III 467 consid. 1.2 p. 470; ATF 127 III 300 consid. 6a p. 307; ATF 115 II 484 consid. 4b p. 488). Sur les objets de la collection autres que la Fête au village , l'acte authentique conférait aux époux Varenne un usufruit qui, au décès de l'un d'eux, était reporté sur le survivant. Cette modalité devait raisonnablement s'appliquer aussi aux autres droits que les donateurs pouvaient, le cas échéant, faire valoir sur la base de l'acte ou de la loi. On ne discerne pas pour quel motif les parties auraient voulu que le droit de révocation, au contraire, s'éteignît dès le premier décès. Les donateurs ne pouvaient d'ailleurs pas renoncer d'avance à ce droit (MAISSEN, op. cit., n. 407 p. 121; cf. ATF 113 II 252 consid. 5 p. 258). On retiendra donc qu'après la disparition de Roger Varenne, Françoise Varenne était en droit de révoquer seule s'il advenait que la demanderesse n'exécutât pas la charge convenue. La Cour de justice parvient à la conclusion contraire par référence à la jurisprudence relative au compte qu'une banque ouvre à plusieurs personnes: même si le contrat autorise chacune de ces BGE 133 III 421 S. 428 personnes à réclamer individuellement la totalité des valeurs confiées, elles ne peuvent pas, sinon conjointement, résilier ce même contrat ( ATF 94 II 313 consid. 6 p. 318). Le compte bancaire et la donation ont en commun que les co-titulaires, comme les co-donateurs, remettent des biens à l'autre partie. En revanche, dans le compte bancaire mais pas dans la donation, ces biens peuvent être repris librement et sans rupture de la relation contractuelle. En raison de cette différence déjà, la jurisprudence ainsi mentionnée n'est pas pertinente.</w:t>
      </w:r>
    </w:p>
    <w:p>
      <w:r>
        <w:rPr>
          <w:b/>
        </w:rPr>
        <w:t>E. 4.2</w:t>
      </w:r>
    </w:p>
    <w:p>
      <w:r>
        <w:t>C'est également à tort que la Cour de justice reconnaît aux héritiers du donateur un droit de révocation semblable, dans ses conditions, ses modalités d'exercice et ses effets, à celui conféré au donateur par l' art. 249 ch. 3 CO . Cela élude entièrement l' art. 251 al. 2 CO selon lequel ce droit ne se transmet que de manière limitée dans le temps. La Cour applique les art. 107 al. 2 et 109 al. 1 CO à l'action en exécution - qui est, elle, transmissible - prévue par l' art. 246 al. 1 CO . Il est vrai qu'en relation avec cette action, le Tribunal fédéral a accordé des dommages-intérêts pour cause d'inexécution en se référant sans plus de discussion aux règles sur l'inexécution des obligations ( ATF 80 II 260 consid. 4 p. 266/267). C'est le donateur qui agissait, non ses héritiers, et le droit aux dommages-intérêts est du reste controversé (CLAUDE RAMONI, Demeure du débiteur et contrats de droit suisse, thèse Lausanne 2002, n. 267 p. 122, avec références à d'autres études). Avec les auteurs qui discutent ce point en particulier, il faut admettre que les règles sur la demeure du débiteur, soit les art. 107 à 109 CO, ne s'appliquent pas en concours avec les art. 246 al. 1 et 249 ch. 3 CO parce que la donation n'est pas un contrat synallagmatique, que le donateur ne se trouve pas dans la position d'un créancier face au donataire et que ces dispositions-ci sont donc des règles spéciales destinées à remplacer, dans leur domaine de validité, ces règles-là (RAMONI, op. cit., n. 269 p. 123; EMANUEL GRÜNINGER, Schenkung unter Auflage, thèse dactyl. Bâle 1941, p. 81/82; WALTER HEINRICH MEIER, Der Widerruf von Schenkungen im schweizerischen Recht, thèse Zurich 1958, p. 70). Par conséquent, les héritiers peuvent peut-être prétendre à des dommages-intérêts mais ils n'ont en tous cas pas le droit de révoquer la donation.</w:t>
      </w:r>
    </w:p>
    <w:p>
      <w:r>
        <w:rPr>
          <w:b/>
        </w:rPr>
        <w:t>E. 5</w:t>
      </w:r>
    </w:p>
    <w:p>
      <w:r>
        <w:t>Il reste à examiner si Françoise Varenne était fondée à se plaindre d'inexécution. BGE 133 III 421 S. 429 Selon les défendeurs, les modalités convenues ont été violées, ou elles le seront dans le futur, par le fait que le prêt de la Fête au village pour l'exposition d'Anvers n'avait aucune justification scientifique, contrairement à ce qui a été affirmé par l'adverse partie, et que le tableau en est revenu endommagé; par le fait que l'on a ensuite confié cette oeuvre à une restauratrice dont on savait que le travail manquait de rigueur, et sans prendre les précautions que la direction du musée avait pourtant elle-même ordonnées à la suite de précédentes difficultés; par le fait qu'une restauration a été entreprise et accomplie sans égard aux normes scientifiques et professionnelles et qu'elle a abouti à une dégradation de l'oeuvre; par le fait que la restauration n'a été exécutée qu'avec retard, après que les héritiers se furent plaints de ce que le tableau avait disparu des salles d'exposition; par le fait que le musée n'expose au public qu'une partie de ses possessions et que, de toute évidence, il n'exposera pas la totalité de la collection donnée par les époux Varenne, compte tenu que celle-ci comprend aussi des objets sans grand intérêt; outre d'autres griefs encore, par le fait que, de l'aveu même de la direction, les locaux actuels ne permettent pas une conservation satisfaisante des collections et qu'une rénovation complète du musée, équivalant à une reconstruction, est devenue indispensable. Les défendeurs critiquent aussi le silence de la demanderesse, jusque pendant le procès, au sujet de ce qu'il advenait à la Fête au village . Dans la mesure où cette version des faits ne repose pas sur les constatations de la Cour de justice, les défendeurs critiquent ces constatations comme manifestement incomplètes et ils se réfèrent aux pièces du dossier. On observe d'abord que dès la donation, ou peu après, et jusqu'en avril 1998, soit pendant près de vingt ans, la Fête au village a été exposée exactement selon les modalités convenues. Elle est de nouveau exposée depuis avril 2002; sur réquisition des défendeurs, la demanderesse a réappliqué la clause d'anonymat. Les perturbations survenues dans l'intervalle de quatre ans, quoique regrettables, ne suffisent pas à mettre en doute la capacité et la volonté de la demanderesse de respecter ce à quoi elle s'est engagée. Pour apprécier la portée des clauses convenues, il faut prendre en considération que les époux Varenne ont donné après de longs pourparlers, pour un musée qui existait depuis des décennies déjà et qu'ils connaissaient. Cela implique que, dans la mesure où l'acte de donation n'en BGE 133 III 421 S. 430 disposait pas autrement, ils s'en remettaient au standard de ce musée pour les modalités d'exposition et de conservation des objets donnés. Le prêt d'oeuvres fait partie des opérations classiques d'un musée, en dépit de risques impossibles à prévenir d'une manière absolue, et les parties n'ont pas convenu de l'exclure pour les objets de la donation. L'atelier de restauration est celui du musée et il n'est pas constaté ni allégué que la Fête au village aurait été traitée avec plus de négligence ou de désinvolture que d'autres tableaux. Si l'obsolescence des locaux est reconnue par la demanderesse, elle nuit à toutes les collections de la même manière; la nécessité d'une rénovation est également reconnue et il s'agit évidemment, pour cette partie, d'une entreprise de longue haleine. La charge acceptée par elle n'a pas conféré aux époux Varenne, ni, après eux, à leurs héritiers, un droit de regard et d'intervention équivalant à celui dont jouit, dans les contrats de prestation de service, la partie ayant confié un objet afin que celui-ci fût réparé ou conservé. Pour l'avenir, après que la collection complète aura été remise à la demanderesse, les modalités spécifiées dans l'acte semblent très contraignantes. On doit néanmoins prévoir que la donataire s'y conformera. A l'époque où Françoise Varenne a déclaré la révocation, cette donatrice n'avait aucun motif objectif d'en douter. La situation ne s'était pas modifiée depuis la passation de l'acte en 1978. Celui-ci ne prévoyait pas de mesures préparatoires à réaliser déjà avant la fin de l'usufruit. Compte tenu que l'ordre juridique, avec l' art. 249 ch. 3 CO , n'a pas pour objet de sanctionner des comportements simplement discourtois du donataire (cf. ATF 131 III 535 consid. 4.2 p. 539), il importe peu que la Fête au village fût alors absente du musée et que la donatrice n'obtînt aucune information à son sujet. Ainsi, même si l'état de faits était complété selon les allégations des défendeurs, il demeurerait que le cas visé par cette dernière disposition n'était pas réalisé. Si l'avenir confirmait les appréhensions des héritiers, ceux-ci pourraient encore agir contre la demanderesse sur la base de l' art. 246 al.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